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21世纪应用型人才培养“十三五”规划教材  税法</w:t>
      </w:r>
    </w:p>
    <w:p>
      <w:r>
        <w:rPr>
          <w:rFonts w:ascii="宋体" w:hAnsi="宋体" w:eastAsia="宋体"/>
          <w:sz w:val="24"/>
        </w:rPr>
        <w:t>任郁楠，时燕君主编；褚德勇，郑鹏副主编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21世纪应用型人才培养“十三五”规划教材  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任郁楠，时燕君主编；褚德勇，郑鹏副主编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本书出售、求购地址：https://www.jiaokey.com/book/detail/14081833.html</w:t>
      </w:r>
    </w:p>
    <w:p>
      <w:r>
        <w:t>更多相关图书推荐：https://www.jiaokey.com</w:t>
      </w:r>
    </w:p>
    <w:p>
      <w:r>
        <w:t>任郁楠，时燕君主编；褚德勇，郑鹏副主编 其他作品：https://www.jiaokey.com/tag/任郁楠，时燕君主编；褚德勇，郑鹏副主编.html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关键词搜索：https://www.jiaokey.com/tag/21世纪应用型人才培养“十三五”规划教材  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