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为什么不可以骂人</w:t>
      </w:r>
    </w:p>
    <w:p>
      <w:r>
        <w:rPr>
          <w:rFonts w:ascii="宋体" w:hAnsi="宋体" w:eastAsia="宋体"/>
          <w:sz w:val="24"/>
        </w:rPr>
        <w:t>（韩）卢智暎著；（韩）金美银绘；（韩）金昌福监制；秦晓静译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为什么不可以骂人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（韩）卢智暎著；（韩）金美银绘；（韩）金昌福监制；秦晓静译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本书出售、求购地址：https://www.jiaokey.com/book/detail/14081695.html</w:t>
      </w:r>
    </w:p>
    <w:p>
      <w:r>
        <w:t>更多相关图书推荐：https://www.jiaokey.com</w:t>
      </w:r>
    </w:p>
    <w:p>
      <w:r>
        <w:t>（韩）卢智暎著；（韩）金美银绘；（韩）金昌福监制；秦晓静译 其他作品：https://www.jiaokey.com/tag/（韩）卢智暎著；（韩）金美银绘；（韩）金昌福监制；秦晓静译.html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关键词搜索：https://www.jiaokey.com/tag/为什么不可以骂人.html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