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从封贡到平行  甲午战争前后的中韩关系  1894-1898</w:t>
      </w:r>
    </w:p>
    <w:p>
      <w:r>
        <w:rPr>
          <w:rFonts w:ascii="宋体" w:hAnsi="宋体" w:eastAsia="宋体"/>
          <w:sz w:val="24"/>
        </w:rPr>
        <w:t>林亨芬著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从封贡到平行  甲午战争前后的中韩关系  1894-1898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本书出售、求购地址：https://www.jiaokey.com/book/detail/14077733.html</w:t>
      </w:r>
    </w:p>
    <w:p>
      <w:r>
        <w:t>更多相关图书推荐：https://www.jiaokey.com</w:t>
      </w:r>
    </w:p>
    <w:p>
      <w:r>
        <w:t>林亨芬著 其他作品：https://www.jiaokey.com/tag/林亨芬著.html</w:t>
      </w:r>
    </w:p>
    <w:p>
      <w:r>
        <w:t>致知学术出版社 出版图书：https://www.jiaokey.com/tag/致知学术出版社.html</w:t>
      </w:r>
    </w:p>
    <w:p>
      <w:r>
        <w:t>关键词搜索：https://www.jiaokey.com/tag/从封贡到平行  甲午战争前后的中韩关系  1894-1898.html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