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浙江外向型渔业经济研究</w:t>
      </w:r>
    </w:p>
    <w:p>
      <w:r>
        <w:rPr>
          <w:rFonts w:ascii="宋体" w:hAnsi="宋体" w:eastAsia="宋体"/>
          <w:sz w:val="24"/>
        </w:rPr>
        <w:t>浙江省渔业经济学会编；黄木现主编；郭瑞兰，余匡军副主编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浙江外向型渔业经济研究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浙江省渔业经济学会编；黄木现主编；郭瑞兰，余匡军副主编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本书出售、求购地址：https://www.jiaokey.com/book/detail/14077387.html</w:t>
      </w:r>
    </w:p>
    <w:p>
      <w:r>
        <w:t>更多相关图书推荐：https://www.jiaokey.com</w:t>
      </w:r>
    </w:p>
    <w:p>
      <w:r>
        <w:t>浙江省渔业经济学会编；黄木现主编；郭瑞兰，余匡军副主编 其他作品：https://www.jiaokey.com/tag/浙江省渔业经济学会编；黄木现主编；郭瑞兰，余匡军副主编.html</w:t>
      </w:r>
    </w:p>
    <w:p>
      <w:r>
        <w:t>关键词搜索：https://www.jiaokey.com/tag/浙江外向型渔业经济研究.html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