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国际经济法律规范的可移植性与国家经济安全的相关性研究  以WTO法为例</w:t>
      </w:r>
    </w:p>
    <w:p>
      <w:r>
        <w:rPr>
          <w:rFonts w:ascii="宋体" w:hAnsi="宋体" w:eastAsia="宋体"/>
          <w:sz w:val="24"/>
        </w:rPr>
        <w:t>孔庆江著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国际经济法律规范的可移植性与国家经济安全的相关性研究  以WTO法为例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本书出售、求购地址：https://www.jiaokey.com/book/detail/14075362.html</w:t>
      </w:r>
    </w:p>
    <w:p>
      <w:r>
        <w:t>更多相关图书推荐：https://www.jiaokey.com</w:t>
      </w:r>
    </w:p>
    <w:p>
      <w:r>
        <w:t>孔庆江著 其他作品：https://www.jiaokey.com/tag/孔庆江著.html</w:t>
      </w:r>
    </w:p>
    <w:p>
      <w:r>
        <w:t>关键词搜索：https://www.jiaokey.com/tag/国际经济法律规范的可移植性与国家经济安全的相关性研究  以WTO法为例.html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