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民事执行实务操作指南</w:t>
      </w:r>
    </w:p>
    <w:p>
      <w:r>
        <w:rPr>
          <w:rFonts w:ascii="宋体" w:hAnsi="宋体" w:eastAsia="宋体"/>
          <w:sz w:val="24"/>
        </w:rPr>
        <w:t>鲁桂华主编；董建中，杨越副主编；吴宝生，郑亚军，胡建勇编委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鲁桂华主编；董建中，杨越副主编；吴宝生，郑亚军，胡建勇编委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本书出售、求购地址：https://www.jiaokey.com/book/detail/14074972.html</w:t>
      </w:r>
    </w:p>
    <w:p>
      <w:r>
        <w:t>更多相关图书推荐：https://www.jiaokey.com</w:t>
      </w:r>
    </w:p>
    <w:p>
      <w:r>
        <w:t>鲁桂华主编；董建中，杨越副主编；吴宝生，郑亚军，胡建勇编委 其他作品：https://www.jiaokey.com/tag/鲁桂华主编；董建中，杨越副主编；吴宝生，郑亚军，胡建勇编委.html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关键词搜索：https://www.jiaokey.com/tag/民事执行实务操作指南.html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