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江南民间菜</w:t>
      </w:r>
    </w:p>
    <w:p>
      <w:r>
        <w:rPr>
          <w:rFonts w:ascii="宋体" w:hAnsi="宋体" w:eastAsia="宋体"/>
          <w:sz w:val="24"/>
        </w:rPr>
        <w:t>顾明钟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江南民间菜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9787553505381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饮食调制技术及设备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本书收录200余道江南民间家常菜，用的都是江南家常可见的原料，并根据食材的时令，按季节加以编排，提倡当令而食，生态食材，原味调和，健康回归。除烹饪步骤外，还有营养成分、节令知识等小贴士。</w:t>
      </w:r>
    </w:p>
    <w:p/>
    <w:p>
      <w:r>
        <w:t>本书出售、求购地址：https://www.jiaokey.com/book/detail/14073220.html</w:t>
      </w:r>
    </w:p>
    <w:p>
      <w:r>
        <w:t>更多饮食调制技术及设备图书推荐：https://www.jiaokey.com</w:t>
      </w:r>
    </w:p>
    <w:p>
      <w:r>
        <w:t>顾明钟 其他作品：https://www.jiaokey.com/tag/顾明钟.html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关键词搜索：https://www.jiaokey.com/tag/菜谱-华东地区.html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