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互联网金融营销</w:t>
      </w:r>
    </w:p>
    <w:p>
      <w:r>
        <w:rPr>
          <w:rFonts w:ascii="宋体" w:hAnsi="宋体" w:eastAsia="宋体"/>
          <w:sz w:val="24"/>
        </w:rPr>
        <w:t>张高煜主编；张瑞君，郭彬彬，吴玥辰，齐宇明副主编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互联网金融营销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张高煜主编；张瑞君，郭彬彬，吴玥辰，齐宇明副主编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本书出售、求购地址：https://www.jiaokey.com/book/detail/14072955.html</w:t>
      </w:r>
    </w:p>
    <w:p>
      <w:r>
        <w:t>更多相关图书推荐：https://www.jiaokey.com</w:t>
      </w:r>
    </w:p>
    <w:p>
      <w:r>
        <w:t>张高煜主编；张瑞君，郭彬彬，吴玥辰，齐宇明副主编 其他作品：https://www.jiaokey.com/tag/张高煜主编；张瑞君，郭彬彬，吴玥辰，齐宇明副主编.html</w:t>
      </w:r>
    </w:p>
    <w:p>
      <w:r>
        <w:t>中国财富出版社 出版图书：https://www.jiaokey.com/tag/中国财富出版社.html</w:t>
      </w:r>
    </w:p>
    <w:p>
      <w:r>
        <w:t>关键词搜索：https://www.jiaokey.com/tag/互联网金融营销.html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