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Oracle性能优化与诊断案例精选</w:t>
      </w:r>
    </w:p>
    <w:p>
      <w:r>
        <w:rPr>
          <w:rFonts w:ascii="宋体" w:hAnsi="宋体" w:eastAsia="宋体"/>
          <w:sz w:val="24"/>
        </w:rPr>
        <w:t>盖国强，李轶楠主编；杨廷琨，熊军，李真旭，杨俊，黄宸宁等编著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Oracle性能优化与诊断案例精选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盖国强，李轶楠主编；杨廷琨，熊军，李真旭，杨俊，黄宸宁等编著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本书出售、求购地址：https://www.jiaokey.com/book/detail/14072803.html</w:t>
      </w:r>
    </w:p>
    <w:p>
      <w:r>
        <w:t>更多相关图书推荐：https://www.jiaokey.com</w:t>
      </w:r>
    </w:p>
    <w:p>
      <w:r>
        <w:t>盖国强，李轶楠主编；杨廷琨，熊军，李真旭，杨俊，黄宸宁等编著 其他作品：https://www.jiaokey.com/tag/盖国强，李轶楠主编；杨廷琨，熊军，李真旭，杨俊，黄宸宁等编著.html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关键词搜索：https://www.jiaokey.com/tag/Oracle性能优化与诊断案例精选.html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