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超越后进发展  台湾的产业升级策略=Beyond late development Taiwan’s upgrading policies</w:t>
      </w:r>
    </w:p>
    <w:p>
      <w:r>
        <w:rPr>
          <w:rFonts w:ascii="宋体" w:hAnsi="宋体" w:eastAsia="宋体"/>
          <w:sz w:val="24"/>
        </w:rPr>
        <w:t>（美）爱丽丝·H.安士敦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超越后进发展  台湾的产业升级策略=Beyond late development Taiwan’s upgrading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（美）爱丽丝·H.安士敦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本书出售、求购地址：https://www.jiaokey.com/book/detail/14070699.html</w:t>
      </w:r>
    </w:p>
    <w:p>
      <w:r>
        <w:t>更多相关图书推荐：https://www.jiaokey.com</w:t>
      </w:r>
    </w:p>
    <w:p>
      <w:r>
        <w:t>（美）爱丽丝·H.安士敦 其他作品：https://www.jiaokey.com/tag/（美）爱丽丝·H.安士敦.html</w:t>
      </w:r>
    </w:p>
    <w:p>
      <w:r>
        <w:t>关键词搜索：https://www.jiaokey.com/tag/超越后进发展  台湾的产业升级策略=Beyond late development Taiwan’s upgrading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