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气相色谱的最新进展</w:t>
      </w:r>
    </w:p>
    <w:p>
      <w:r>
        <w:rPr>
          <w:rFonts w:ascii="宋体" w:hAnsi="宋体" w:eastAsia="宋体"/>
          <w:sz w:val="24"/>
        </w:rPr>
        <w:t>杨明德等译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气相色谱的最新进展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辽阳石油化学纤维总厂科学研究所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本书出售、求购地址：https://www.jiaokey.com/book/detail/14069735.html</w:t>
      </w:r>
    </w:p>
    <w:p>
      <w:r>
        <w:t>更多相关图书推荐：https://www.jiaokey.com</w:t>
      </w:r>
    </w:p>
    <w:p>
      <w:r>
        <w:t>杨明德等译 其他作品：https://www.jiaokey.com/tag/杨明德等译.html</w:t>
      </w:r>
    </w:p>
    <w:p>
      <w:r>
        <w:t>辽阳石油化学纤维总厂科学研究所 出版图书：https://www.jiaokey.com/tag/辽阳石油化学纤维总厂科学研究所.html</w:t>
      </w:r>
    </w:p>
    <w:p>
      <w:r>
        <w:t>关键词搜索：https://www.jiaokey.com/tag/气相色谱的最新进展.html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