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灵动演绎  游戏动画设计指南</w:t>
      </w:r>
    </w:p>
    <w:p>
      <w:r>
        <w:rPr>
          <w:rFonts w:ascii="宋体" w:hAnsi="宋体" w:eastAsia="宋体"/>
          <w:sz w:val="24"/>
        </w:rPr>
        <w:t>麦华东，张淞泰，罗文俊，廖新洪等著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灵动演绎  游戏动画设计指南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麦华东，张淞泰，罗文俊，廖新洪等著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本书出售、求购地址：https://www.jiaokey.com/book/detail/14069714.html</w:t>
      </w:r>
    </w:p>
    <w:p>
      <w:r>
        <w:t>更多相关图书推荐：https://www.jiaokey.com</w:t>
      </w:r>
    </w:p>
    <w:p>
      <w:r>
        <w:t>麦华东，张淞泰，罗文俊，廖新洪等著 其他作品：https://www.jiaokey.com/tag/麦华东，张淞泰，罗文俊，廖新洪等著.html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关键词搜索：https://www.jiaokey.com/tag/灵动演绎  游戏动画设计指南.html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