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  第2版</w:t>
      </w:r>
    </w:p>
    <w:p>
      <w:r>
        <w:rPr>
          <w:rFonts w:ascii="宋体" w:hAnsi="宋体" w:eastAsia="宋体"/>
          <w:sz w:val="24"/>
        </w:rPr>
        <w:t>王剑，李锐，王一洁主编；刘成军，路喜东，李义，徐小惠副主编；徐景录主审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王剑，李锐，王一洁主编；刘成军，路喜东，李义，徐小惠副主编；徐景录主审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本书出售、求购地址：https://www.jiaokey.com/book/detail/14069690.html</w:t>
      </w:r>
    </w:p>
    <w:p>
      <w:r>
        <w:t>更多相关图书推荐：https://www.jiaokey.com</w:t>
      </w:r>
    </w:p>
    <w:p>
      <w:r>
        <w:t>王剑，李锐，王一洁主编；刘成军，路喜东，李义，徐小惠副主编；徐景录主审 其他作品：https://www.jiaokey.com/tag/王剑，李锐，王一洁主编；刘成军，路喜东，李义，徐小惠副主编；徐景录主审.html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关键词搜索：https://www.jiaokey.com/tag/经济法实用教程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