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高老头</w:t>
      </w:r>
    </w:p>
    <w:p>
      <w:r>
        <w:rPr>
          <w:rFonts w:ascii="宋体" w:hAnsi="宋体" w:eastAsia="宋体"/>
          <w:sz w:val="24"/>
        </w:rPr>
        <w:t>巴尔扎克,徐之逸,徐之越改写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高老头</w:t>
            </w:r>
          </w:p>
        </w:tc>
      </w:tr>
      <w:tr>
        <w:tc>
          <w:tcPr>
            <w:tcW w:type="dxa" w:w="4320"/>
          </w:tcPr>
          <w:p>
            <w:r>
              <w:t>作者</w:t>
            </w:r>
          </w:p>
        </w:tc>
        <w:tc>
          <w:tcPr>
            <w:tcW w:type="dxa" w:w="4320"/>
          </w:tcPr>
          <w:p>
            <w:r>
              <w:t>巴尔扎克,徐之逸,徐之越改写</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9787305123948</w:t>
            </w:r>
          </w:p>
        </w:tc>
      </w:tr>
      <w:tr>
        <w:tc>
          <w:tcPr>
            <w:tcW w:type="dxa" w:w="4320"/>
          </w:tcPr>
          <w:p>
            <w:r>
              <w:t>出版日期</w:t>
            </w:r>
          </w:p>
        </w:tc>
        <w:tc>
          <w:tcPr>
            <w:tcW w:type="dxa" w:w="4320"/>
          </w:tcPr>
          <w:p>
            <w:r>
              <w:t>2014-01-01</w:t>
            </w:r>
          </w:p>
        </w:tc>
      </w:tr>
      <w:tr>
        <w:tc>
          <w:tcPr>
            <w:tcW w:type="dxa" w:w="4320"/>
          </w:tcPr>
          <w:p>
            <w:r>
              <w:t>页数</w:t>
            </w:r>
          </w:p>
        </w:tc>
        <w:tc>
          <w:tcPr>
            <w:tcW w:type="dxa" w:w="4320"/>
          </w:tcPr>
          <w:p>
            <w:r>
              <w:t>336</w:t>
            </w:r>
          </w:p>
        </w:tc>
      </w:tr>
      <w:tr>
        <w:tc>
          <w:tcPr>
            <w:tcW w:type="dxa" w:w="4320"/>
          </w:tcPr>
          <w:p>
            <w:r>
              <w:t>价格</w:t>
            </w:r>
          </w:p>
        </w:tc>
        <w:tc>
          <w:tcPr>
            <w:tcW w:type="dxa" w:w="4320"/>
          </w:tcPr>
          <w:p>
            <w:r/>
          </w:p>
        </w:tc>
      </w:tr>
      <w:tr>
        <w:tc>
          <w:tcPr>
            <w:tcW w:type="dxa" w:w="4320"/>
          </w:tcPr>
          <w:p>
            <w:r>
              <w:t>关键词</w:t>
            </w:r>
          </w:p>
        </w:tc>
        <w:tc>
          <w:tcPr>
            <w:tcW w:type="dxa" w:w="4320"/>
          </w:tcPr>
          <w:p>
            <w:r>
              <w:t>长篇小说-法国-近代-缩写</w:t>
            </w:r>
          </w:p>
        </w:tc>
      </w:tr>
      <w:tr>
        <w:tc>
          <w:tcPr>
            <w:tcW w:type="dxa" w:w="4320"/>
          </w:tcPr>
          <w:p>
            <w:r>
              <w:t>分类</w:t>
            </w:r>
          </w:p>
        </w:tc>
        <w:tc>
          <w:tcPr>
            <w:tcW w:type="dxa" w:w="4320"/>
          </w:tcPr>
          <w:p>
            <w:r>
              <w:t>欧洲文学</w:t>
            </w:r>
          </w:p>
        </w:tc>
      </w:tr>
    </w:tbl>
    <w:p/>
    <w:p>
      <w:pPr>
        <w:pStyle w:val="Heading1"/>
      </w:pPr>
      <w:r>
        <w:t>图书介绍</w:t>
      </w:r>
    </w:p>
    <w:p>
      <w:r>
        <w:t>本书发表于1834年，是巴尔扎克最优秀的作品之一。这部作品在展示社会生活的广度和深度方面，在反映作家世界观的进步性和局限性方面，在表现《人间喜剧》的艺术成就和不足之处方面，都具有代表意义。其艺术风格最能代表巴尔扎克的特点。高老头是巴尔扎克塑造的一系列富有典型意义的人物形象之一，他是封建宗法思想被资产阶级金钱至上的道德原则所战胜的历史悲剧的一个缩影。小说主人公高老头向读者展示了一份特别的父爱。他把女儿当做天使，乐于牺牲自己来满足她们的种种奢望。为了女儿的体面，他歇了生意，只身搬进伏盖公寓；为了替女儿还</w:t>
      </w:r>
    </w:p>
    <w:p/>
    <w:p>
      <w:r>
        <w:t>本书出售、求购地址：https://www.jiaokey.com/book/detail/14066816.html</w:t>
      </w:r>
    </w:p>
    <w:p>
      <w:r>
        <w:t>更多欧洲文学图书推荐：https://www.jiaokey.com</w:t>
      </w:r>
    </w:p>
    <w:p>
      <w:r>
        <w:t>巴尔扎克,徐之逸,徐之越改写 其他作品：https://www.jiaokey.com/tag/巴尔扎克,徐之逸,徐之越改写.html</w:t>
      </w:r>
    </w:p>
    <w:p>
      <w:r>
        <w:t>南京：南京大学出版社 出版图书：https://www.jiaokey.com/tag/南京：南京大学出版社.html</w:t>
      </w:r>
    </w:p>
    <w:p>
      <w:r>
        <w:t>关键词搜索：https://www.jiaokey.com/tag/长篇小说-法国-近代-缩写.html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