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低通胀国家的货币政策</w:t>
      </w:r>
    </w:p>
    <w:p>
      <w:r>
        <w:rPr>
          <w:rFonts w:ascii="宋体" w:hAnsi="宋体" w:eastAsia="宋体"/>
          <w:sz w:val="24"/>
        </w:rPr>
        <w:t>大卫·E·阿提格（DavidE·Altig），埃德·诺塞尔（EdNosal）著；丁志杰，张红地等译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低通胀国家的货币政策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大卫·E·阿提格（DavidE·Altig），埃德·诺塞尔（EdNosal）著；丁志杰，张红地等译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本书出售、求购地址：https://www.jiaokey.com/book/detail/14061923.html</w:t>
      </w:r>
    </w:p>
    <w:p>
      <w:r>
        <w:t>更多相关图书推荐：https://www.jiaokey.com</w:t>
      </w:r>
    </w:p>
    <w:p>
      <w:r>
        <w:t>大卫·E·阿提格（DavidE·Altig），埃德·诺塞尔（EdNosal）著；丁志杰，张红地等译 其他作品：https://www.jiaokey.com/tag/大卫·E·阿提格（DavidE·Altig），埃德·诺塞尔（EdNosal）著；丁志杰，张红地等译.html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关键词搜索：https://www.jiaokey.com/tag/低通胀国家的货币政策.html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