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</w:t>
      </w:r>
    </w:p>
    <w:p>
      <w:r>
        <w:rPr>
          <w:rFonts w:ascii="宋体" w:hAnsi="宋体" w:eastAsia="宋体"/>
          <w:sz w:val="24"/>
        </w:rPr>
        <w:t>乐英，段巍主编；蒋宏春，杨化动编写；范孝良主审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乐英，段巍主编；蒋宏春，杨化动编写；范孝良主审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本书出售、求购地址：https://www.jiaokey.com/book/detail/14061430.html</w:t>
      </w:r>
    </w:p>
    <w:p>
      <w:r>
        <w:t>更多相关图书推荐：https://www.jiaokey.com</w:t>
      </w:r>
    </w:p>
    <w:p>
      <w:r>
        <w:t>乐英，段巍主编；蒋宏春，杨化动编写；范孝良主审 其他作品：https://www.jiaokey.com/tag/乐英，段巍主编；蒋宏春，杨化动编写；范孝良主审.html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