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参数与数据  2012</w:t>
      </w:r>
    </w:p>
    <w:p>
      <w:r>
        <w:rPr>
          <w:rFonts w:ascii="宋体" w:hAnsi="宋体" w:eastAsia="宋体"/>
          <w:sz w:val="24"/>
        </w:rPr>
        <w:t>周若洪主编；刘易副主编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参数与数据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周若洪主编；刘易副主编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中国石油化工集团公司经济技术研究院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本书出售、求购地址：https://www.jiaokey.com/book/detail/14056925.html</w:t>
      </w:r>
    </w:p>
    <w:p>
      <w:r>
        <w:t>更多相关图书推荐：https://www.jiaokey.com</w:t>
      </w:r>
    </w:p>
    <w:p>
      <w:r>
        <w:t>周若洪主编；刘易副主编 其他作品：https://www.jiaokey.com/tag/周若洪主编；刘易副主编.html</w:t>
      </w:r>
    </w:p>
    <w:p>
      <w:r>
        <w:t>中国石油化工集团公司经济技术研究院 出版图书：https://www.jiaokey.com/tag/中国石油化工集团公司经济技术研究院.html</w:t>
      </w:r>
    </w:p>
    <w:p>
      <w:r>
        <w:t>关键词搜索：https://www.jiaokey.com/tag/参数与数据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