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根据2012年新《民事诉讼法》及201年司法解释修订</w:t>
      </w:r>
    </w:p>
    <w:p>
      <w:r>
        <w:rPr>
          <w:rFonts w:ascii="宋体" w:hAnsi="宋体" w:eastAsia="宋体"/>
          <w:sz w:val="24"/>
        </w:rPr>
        <w:t>齐树洁主编；齐树洁，卢正敏，林毅坚，陈恭健，丁兆曾，张旭东，张榕，郑贤宇，梁开斌，陈慰星撰稿人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根据2012年新《民事诉讼法》及201年司法解释修订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齐树洁主编；齐树洁，卢正敏，林毅坚，陈恭健，丁兆曾，张旭东，张榕，郑贤宇，梁开斌，陈慰星撰稿人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本书出售、求购地址：https://www.jiaokey.com/book/detail/14055757.html</w:t>
      </w:r>
    </w:p>
    <w:p>
      <w:r>
        <w:t>更多相关图书推荐：https://www.jiaokey.com</w:t>
      </w:r>
    </w:p>
    <w:p>
      <w:r>
        <w:t>齐树洁主编；齐树洁，卢正敏，林毅坚，陈恭健，丁兆曾，张旭东，张榕，郑贤宇，梁开斌，陈慰星撰稿人 其他作品：https://www.jiaokey.com/tag/齐树洁主编；齐树洁，卢正敏，林毅坚，陈恭健，丁兆曾，张旭东，张榕，郑贤宇，梁开斌，陈慰星撰稿人.html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  根据2012年新《民事诉讼法》及201年司法解释修订.html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