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政府规制创新</w:t>
      </w:r>
    </w:p>
    <w:p>
      <w:r>
        <w:rPr>
          <w:rFonts w:ascii="宋体" w:hAnsi="宋体" w:eastAsia="宋体"/>
          <w:sz w:val="24"/>
        </w:rPr>
        <w:t>魏成龙，张丽娜，史红民，石艳蕊，杨冠琼丛书主编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魏成龙，张丽娜，史红民，石艳蕊，杨冠琼丛书主编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本书出售、求购地址：https://www.jiaokey.com/book/detail/14055738.html</w:t>
      </w:r>
    </w:p>
    <w:p>
      <w:r>
        <w:t>更多相关图书推荐：https://www.jiaokey.com</w:t>
      </w:r>
    </w:p>
    <w:p>
      <w:r>
        <w:t>魏成龙，张丽娜，史红民，石艳蕊，杨冠琼丛书主编 其他作品：https://www.jiaokey.com/tag/魏成龙，张丽娜，史红民，石艳蕊，杨冠琼丛书主编.html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关键词搜索：https://www.jiaokey.com/tag/政府规制创新.html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