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试论社会主义初级阶段城市群众文化的发展趋势</w:t>
      </w:r>
    </w:p>
    <w:p>
      <w:r>
        <w:rPr>
          <w:rFonts w:ascii="宋体" w:hAnsi="宋体" w:eastAsia="宋体"/>
          <w:sz w:val="24"/>
        </w:rPr>
        <w:t>仇学英著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试论社会主义初级阶段城市群众文化的发展趋势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本书出售、求购地址：https://www.jiaokey.com/book/detail/14054627.html</w:t>
      </w:r>
    </w:p>
    <w:p>
      <w:r>
        <w:t>更多相关图书推荐：https://www.jiaokey.com</w:t>
      </w:r>
    </w:p>
    <w:p>
      <w:r>
        <w:t>仇学英著 其他作品：https://www.jiaokey.com/tag/仇学英著.html</w:t>
      </w:r>
    </w:p>
    <w:p>
      <w:r>
        <w:t>贵州大学学报 出版图书：https://www.jiaokey.com/tag/贵州大学学报.html</w:t>
      </w:r>
    </w:p>
    <w:p>
      <w:r>
        <w:t>关键词搜索：https://www.jiaokey.com/tag/试论社会主义初级阶段城市群众文化的发展趋势.html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