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中国淡水养鱼水质与池塘底泥的管理</w:t>
      </w:r>
    </w:p>
    <w:p>
      <w:r>
        <w:rPr>
          <w:rFonts w:ascii="宋体" w:hAnsi="宋体" w:eastAsia="宋体"/>
          <w:sz w:val="24"/>
        </w:rPr>
        <w:t>C.E.鲍埃德编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中国淡水养鱼水质与池塘底泥的管理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C.E.鲍埃德编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本书出售、求购地址：https://www.jiaokey.com/book/detail/14053547.html</w:t>
      </w:r>
    </w:p>
    <w:p>
      <w:r>
        <w:t>更多相关图书推荐：https://www.jiaokey.com</w:t>
      </w:r>
    </w:p>
    <w:p>
      <w:r>
        <w:t>C.E.鲍埃德编 其他作品：https://www.jiaokey.com/tag/C.E.鲍埃德编.html</w:t>
      </w:r>
    </w:p>
    <w:p>
      <w:r>
        <w:t>关键词搜索：https://www.jiaokey.com/tag/中国淡水养鱼水质与池塘底泥的管理.html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