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赤水河航运建设关键技术</w:t>
      </w:r>
    </w:p>
    <w:p>
      <w:r>
        <w:rPr>
          <w:rFonts w:ascii="宋体" w:hAnsi="宋体" w:eastAsia="宋体"/>
          <w:sz w:val="24"/>
        </w:rPr>
        <w:t>贵州省交通运输厅组织编写；冯小香，韩剑波，李一兵编著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赤水河航运建设关键技术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贵州省交通运输厅组织编写；冯小香，韩剑波，李一兵编著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本书出售、求购地址：https://www.jiaokey.com/book/detail/14049533.html</w:t>
      </w:r>
    </w:p>
    <w:p>
      <w:r>
        <w:t>更多相关图书推荐：https://www.jiaokey.com</w:t>
      </w:r>
    </w:p>
    <w:p>
      <w:r>
        <w:t>贵州省交通运输厅组织编写；冯小香，韩剑波，李一兵编著 其他作品：https://www.jiaokey.com/tag/贵州省交通运输厅组织编写；冯小香，韩剑波，李一兵编著.html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关键词搜索：https://www.jiaokey.com/tag/赤水河航运建设关键技术.html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