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中原音韵笺释  正语作词起例之部</w:t>
      </w:r>
    </w:p>
    <w:p>
      <w:r>
        <w:rPr>
          <w:rFonts w:ascii="宋体" w:hAnsi="宋体" w:eastAsia="宋体"/>
          <w:sz w:val="24"/>
        </w:rPr>
        <w:t>李惠绵着，曾永义，金周生审订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中原音韵笺释  正语作词起例之部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李惠绵着，曾永义，金周生审订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本书出售、求购地址：https://www.jiaokey.com/book/detail/14049079.html</w:t>
      </w:r>
    </w:p>
    <w:p>
      <w:r>
        <w:t>更多相关图书推荐：https://www.jiaokey.com</w:t>
      </w:r>
    </w:p>
    <w:p>
      <w:r>
        <w:t>李惠绵着，曾永义，金周生审订 其他作品：https://www.jiaokey.com/tag/李惠绵着，曾永义，金周生审订.html</w:t>
      </w:r>
    </w:p>
    <w:p>
      <w:r>
        <w:t>国立台湾大学 出版图书：https://www.jiaokey.com/tag/国立台湾大学.html</w:t>
      </w:r>
    </w:p>
    <w:p>
      <w:r>
        <w:t>关键词搜索：https://www.jiaokey.com/tag/中原音韵笺释  正语作词起例之部.html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