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历代诗人咏南翔</w:t>
      </w:r>
    </w:p>
    <w:p>
      <w:r>
        <w:rPr>
          <w:rFonts w:ascii="宋体" w:hAnsi="宋体" w:eastAsia="宋体"/>
          <w:sz w:val="24"/>
        </w:rPr>
        <w:t>钱乃之选编；陈兆熊注释；陈一凡审订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历代诗人咏南翔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钱乃之选编；陈兆熊注释；陈一凡审订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本书出售、求购地址：https://www.jiaokey.com/book/detail/14047010.html</w:t>
      </w:r>
    </w:p>
    <w:p>
      <w:r>
        <w:t>更多相关图书推荐：https://www.jiaokey.com</w:t>
      </w:r>
    </w:p>
    <w:p>
      <w:r>
        <w:t>钱乃之选编；陈兆熊注释；陈一凡审订 其他作品：https://www.jiaokey.com/tag/钱乃之选编；陈兆熊注释；陈一凡审订.html</w:t>
      </w:r>
    </w:p>
    <w:p>
      <w:r>
        <w:t>关键词搜索：https://www.jiaokey.com/tag/历代诗人咏南翔.html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