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游戏开发原理</w:t>
      </w:r>
    </w:p>
    <w:p>
      <w:r>
        <w:rPr>
          <w:rFonts w:ascii="宋体" w:hAnsi="宋体" w:eastAsia="宋体"/>
          <w:sz w:val="24"/>
        </w:rPr>
        <w:t>（英）AlanThorn著；李海涛，王玉洁，吴梦诗等译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游戏开发原理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（英）AlanThorn著；李海涛，王玉洁，吴梦诗等译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本书出售、求购地址：https://www.jiaokey.com/book/detail/14043801.html</w:t>
      </w:r>
    </w:p>
    <w:p>
      <w:r>
        <w:t>更多相关图书推荐：https://www.jiaokey.com</w:t>
      </w:r>
    </w:p>
    <w:p>
      <w:r>
        <w:t>（英）AlanThorn著；李海涛，王玉洁，吴梦诗等译 其他作品：https://www.jiaokey.com/tag/（英）AlanThorn著；李海涛，王玉洁，吴梦诗等译.html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关键词搜索：https://www.jiaokey.com/tag/游戏开发原理.html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