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流域水环境风险管理技术与实践</w:t>
      </w:r>
    </w:p>
    <w:p>
      <w:r>
        <w:rPr>
          <w:rFonts w:ascii="宋体" w:hAnsi="宋体" w:eastAsia="宋体"/>
          <w:sz w:val="24"/>
        </w:rPr>
        <w:t>郑丙辉，李开明，秦延文，张世琨，李维新，仇伟光著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流域水环境风险管理技术与实践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郑丙辉，李开明，秦延文，张世琨，李维新，仇伟光著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本书出售、求购地址：https://www.jiaokey.com/book/detail/14043462.html</w:t>
      </w:r>
    </w:p>
    <w:p>
      <w:r>
        <w:t>更多相关图书推荐：https://www.jiaokey.com</w:t>
      </w:r>
    </w:p>
    <w:p>
      <w:r>
        <w:t>郑丙辉，李开明，秦延文，张世琨，李维新，仇伟光著 其他作品：https://www.jiaokey.com/tag/郑丙辉，李开明，秦延文，张世琨，李维新，仇伟光著.html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关键词搜索：https://www.jiaokey.com/tag/流域水环境风险管理技术与实践.html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