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世界法学七大奇观  为《法律层次论》出版三周年而作</w:t>
      </w:r>
    </w:p>
    <w:p>
      <w:r>
        <w:rPr>
          <w:rFonts w:ascii="宋体" w:hAnsi="宋体" w:eastAsia="宋体"/>
          <w:sz w:val="24"/>
        </w:rPr>
        <w:t>刘大生著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世界法学七大奇观  为《法律层次论》出版三周年而作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本书出售、求购地址：https://www.jiaokey.com/book/detail/14042026.html</w:t>
      </w:r>
    </w:p>
    <w:p>
      <w:r>
        <w:t>更多相关图书推荐：https://www.jiaokey.com</w:t>
      </w:r>
    </w:p>
    <w:p>
      <w:r>
        <w:t>刘大生著 其他作品：https://www.jiaokey.com/tag/刘大生著.html</w:t>
      </w:r>
    </w:p>
    <w:p>
      <w:r>
        <w:t>关键词搜索：https://www.jiaokey.com/tag/世界法学七大奇观  为《法律层次论》出版三周年而作.html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