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C指针  基本概念  核心技术及最佳实践</w:t>
      </w:r>
    </w:p>
    <w:p>
      <w:r>
        <w:rPr>
          <w:rFonts w:ascii="宋体" w:hAnsi="宋体" w:eastAsia="宋体"/>
          <w:sz w:val="24"/>
        </w:rPr>
        <w:t>（印）纳威恩·拓奥普（Naveen Toppo），（印）海瑞恩科什·德万（Hrishikesh Dewan）著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C指针  基本概念  核心技术及最佳实践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（印）纳威恩·拓奥普（Naveen Toppo），（印）海瑞恩科什·德万（Hrishikesh Dewan）著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本书出售、求购地址：https://www.jiaokey.com/book/detail/14040194.html</w:t>
      </w:r>
    </w:p>
    <w:p>
      <w:r>
        <w:t>更多相关图书推荐：https://www.jiaokey.com</w:t>
      </w:r>
    </w:p>
    <w:p>
      <w:r>
        <w:t>（印）纳威恩·拓奥普（Naveen Toppo），（印）海瑞恩科什·德万（Hrishikesh Dewan）著 其他作品：https://www.jiaokey.com/tag/（印）纳威恩·拓奥普（Naveen Toppo），（印）海瑞恩科什·德万（Hrishikesh Dewan）著.html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关键词搜索：https://www.jiaokey.com/tag/C指针  基本概念  核心技术及最佳实践.html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