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小鸡为什么在孵兔子</w:t>
      </w:r>
    </w:p>
    <w:p>
      <w:r>
        <w:rPr>
          <w:rFonts w:ascii="宋体" w:hAnsi="宋体" w:eastAsia="宋体"/>
          <w:sz w:val="24"/>
        </w:rPr>
        <w:t>（德）卡特琳·皮佩尔文；（德）克里斯蒂安娜·施吕瑟尔图；何珊译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小鸡为什么在孵兔子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（德）卡特琳·皮佩尔文；（德）克里斯蒂安娜·施吕瑟尔图；何珊译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本书出售、求购地址：https://www.jiaokey.com/book/detail/14038343.html</w:t>
      </w:r>
    </w:p>
    <w:p>
      <w:r>
        <w:t>更多相关图书推荐：https://www.jiaokey.com</w:t>
      </w:r>
    </w:p>
    <w:p>
      <w:r>
        <w:t>（德）卡特琳·皮佩尔文；（德）克里斯蒂安娜·施吕瑟尔图；何珊译 其他作品：https://www.jiaokey.com/tag/（德）卡特琳·皮佩尔文；（德）克里斯蒂安娜·施吕瑟尔图；何珊译.html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关键词搜索：https://www.jiaokey.com/tag/小鸡为什么在孵兔子.html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