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社会高音区  第三音符</w:t>
      </w:r>
    </w:p>
    <w:p>
      <w:r>
        <w:rPr>
          <w:rFonts w:ascii="宋体" w:hAnsi="宋体" w:eastAsia="宋体"/>
          <w:sz w:val="24"/>
        </w:rPr>
        <w:t>（意）安娜·卡萨莉兹著；（意）马可·坎帕内绘；郑峥译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社会高音区  第三音符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（意）安娜·卡萨莉兹著；（意）马可·坎帕内绘；郑峥译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本书出售、求购地址：https://www.jiaokey.com/book/detail/14037981.html</w:t>
      </w:r>
    </w:p>
    <w:p>
      <w:r>
        <w:t>更多相关图书推荐：https://www.jiaokey.com</w:t>
      </w:r>
    </w:p>
    <w:p>
      <w:r>
        <w:t>（意）安娜·卡萨莉兹著；（意）马可·坎帕内绘；郑峥译 其他作品：https://www.jiaokey.com/tag/（意）安娜·卡萨莉兹著；（意）马可·坎帕内绘；郑峥译.html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关键词搜索：https://www.jiaokey.com/tag/社会高音区  第三音符.html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