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社会主义法制中的合同补救方法</w:t>
      </w:r>
    </w:p>
    <w:p>
      <w:r>
        <w:rPr>
          <w:rFonts w:ascii="宋体" w:hAnsi="宋体" w:eastAsia="宋体"/>
          <w:sz w:val="24"/>
        </w:rPr>
        <w:t>（匈牙利）居拉·约尔期著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社会主义法制中的合同补救方法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（匈牙利）居拉·约尔期著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本书出售、求购地址：https://www.jiaokey.com/book/detail/14037362.html</w:t>
      </w:r>
    </w:p>
    <w:p>
      <w:r>
        <w:t>更多相关图书推荐：https://www.jiaokey.com</w:t>
      </w:r>
    </w:p>
    <w:p>
      <w:r>
        <w:t>（匈牙利）居拉·约尔期著 其他作品：https://www.jiaokey.com/tag/（匈牙利）居拉·约尔期著.html</w:t>
      </w:r>
    </w:p>
    <w:p>
      <w:r>
        <w:t>西南政法学院民法教研室 出版图书：https://www.jiaokey.com/tag/西南政法学院民法教研室.html</w:t>
      </w:r>
    </w:p>
    <w:p>
      <w:r>
        <w:t>关键词搜索：https://www.jiaokey.com/tag/社会主义法制中的合同补救方法.html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