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承运人的民事责任：货物运输</w:t>
      </w:r>
    </w:p>
    <w:p>
      <w:r>
        <w:rPr>
          <w:rFonts w:ascii="宋体" w:hAnsi="宋体" w:eastAsia="宋体"/>
          <w:sz w:val="24"/>
        </w:rPr>
        <w:t>（苏）斯塔斯科尼斯著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承运人的民事责任：货物运输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（苏）斯塔斯科尼斯著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本书出售、求购地址：https://www.jiaokey.com/book/detail/14037361.html</w:t>
      </w:r>
    </w:p>
    <w:p>
      <w:r>
        <w:t>更多相关图书推荐：https://www.jiaokey.com</w:t>
      </w:r>
    </w:p>
    <w:p>
      <w:r>
        <w:t>（苏）斯塔斯科尼斯著 其他作品：https://www.jiaokey.com/tag/（苏）斯塔斯科尼斯著.html</w:t>
      </w:r>
    </w:p>
    <w:p>
      <w:r>
        <w:t>西南政法学院民法教研室 出版图书：https://www.jiaokey.com/tag/西南政法学院民法教研室.html</w:t>
      </w:r>
    </w:p>
    <w:p>
      <w:r>
        <w:t>关键词搜索：https://www.jiaokey.com/tag/承运人的民事责任：货物运输.html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