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波兰人民共和国民事诉讼</w:t>
      </w:r>
    </w:p>
    <w:p>
      <w:r>
        <w:rPr>
          <w:rFonts w:ascii="宋体" w:hAnsi="宋体" w:eastAsia="宋体"/>
          <w:sz w:val="24"/>
        </w:rPr>
        <w:t>M·沙弗丘克，文格列克合著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波兰人民共和国民事诉讼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M·沙弗丘克，文格列克合著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西南政法学院法律系诉讼法教研室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本书出售、求购地址：https://www.jiaokey.com/book/detail/14037268.html</w:t>
      </w:r>
    </w:p>
    <w:p>
      <w:r>
        <w:t>更多相关图书推荐：https://www.jiaokey.com</w:t>
      </w:r>
    </w:p>
    <w:p>
      <w:r>
        <w:t>M·沙弗丘克，文格列克合著 其他作品：https://www.jiaokey.com/tag/M·沙弗丘克，文格列克合著.html</w:t>
      </w:r>
    </w:p>
    <w:p>
      <w:r>
        <w:t>西南政法学院法律系诉讼法教研室 出版图书：https://www.jiaokey.com/tag/西南政法学院法律系诉讼法教研室.html</w:t>
      </w:r>
    </w:p>
    <w:p>
      <w:r>
        <w:t>关键词搜索：https://www.jiaokey.com/tag/波兰人民共和国民事诉讼.html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