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下</w:t>
      </w:r>
    </w:p>
    <w:p>
      <w:r>
        <w:rPr>
          <w:rFonts w:ascii="宋体" w:hAnsi="宋体" w:eastAsia="宋体"/>
          <w:sz w:val="24"/>
        </w:rPr>
        <w:t>戚庆英，张存懋主编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戚庆英，张存懋主编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本书出售、求购地址：https://www.jiaokey.com/book/detail/14037230.html</w:t>
      </w:r>
    </w:p>
    <w:p>
      <w:r>
        <w:t>更多相关图书推荐：https://www.jiaokey.com</w:t>
      </w:r>
    </w:p>
    <w:p>
      <w:r>
        <w:t>戚庆英，张存懋主编 其他作品：https://www.jiaokey.com/tag/戚庆英，张存懋主编.html</w:t>
      </w:r>
    </w:p>
    <w:p>
      <w:r>
        <w:t>河北大学教材科 出版图书：https://www.jiaokey.com/tag/河北大学教材科.html</w:t>
      </w:r>
    </w:p>
    <w:p>
      <w:r>
        <w:t>关键词搜索：https://www.jiaokey.com/tag/经济法概论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