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  讲稿提纲</w:t>
      </w:r>
    </w:p>
    <w:p>
      <w:r>
        <w:rPr>
          <w:rFonts w:ascii="宋体" w:hAnsi="宋体" w:eastAsia="宋体"/>
          <w:sz w:val="24"/>
        </w:rPr>
        <w:t>姜今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  讲稿提纲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广东省湛江地区工艺美术研究所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本书出售、求购地址：https://www.jiaokey.com/book/detail/14034757.html</w:t>
      </w:r>
    </w:p>
    <w:p>
      <w:r>
        <w:t>更多相关图书推荐：https://www.jiaokey.com</w:t>
      </w:r>
    </w:p>
    <w:p>
      <w:r>
        <w:t>姜今 其他作品：https://www.jiaokey.com/tag/姜今.html</w:t>
      </w:r>
    </w:p>
    <w:p>
      <w:r>
        <w:t>广东省湛江地区工艺美术研究所 出版图书：https://www.jiaokey.com/tag/广东省湛江地区工艺美术研究所.html</w:t>
      </w:r>
    </w:p>
    <w:p>
      <w:r>
        <w:t>关键词搜索：https://www.jiaokey.com/tag/图案  讲稿提纲.html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