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混凝土结构设计原理</w:t>
      </w:r>
    </w:p>
    <w:p>
      <w:r>
        <w:rPr>
          <w:rFonts w:ascii="宋体" w:hAnsi="宋体" w:eastAsia="宋体"/>
          <w:sz w:val="24"/>
        </w:rPr>
        <w:t>祝明桥，黄海林主编；石卫华，汪建群副主编；余志武主审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祝明桥，黄海林主编；石卫华，汪建群副主编；余志武主审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本书出售、求购地址：https://www.jiaokey.com/book/detail/14034475.html</w:t>
      </w:r>
    </w:p>
    <w:p>
      <w:r>
        <w:t>更多相关图书推荐：https://www.jiaokey.com</w:t>
      </w:r>
    </w:p>
    <w:p>
      <w:r>
        <w:t>祝明桥，黄海林主编；石卫华，汪建群副主编；余志武主审 其他作品：https://www.jiaokey.com/tag/祝明桥，黄海林主编；石卫华，汪建群副主编；余志武主审.html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关键词搜索：https://www.jiaokey.com/tag/混凝土结构设计原理.html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