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89年新竹县艺术家薪传系列  4  许和义作品集</w:t>
      </w:r>
    </w:p>
    <w:p>
      <w:r>
        <w:rPr>
          <w:rFonts w:ascii="宋体" w:hAnsi="宋体" w:eastAsia="宋体"/>
          <w:sz w:val="24"/>
        </w:rPr>
        <w:t>蔡荣光总编辑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89年新竹县艺术家薪传系列  4  许和义作品集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新竹县文化局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本书出售、求购地址：https://www.jiaokey.com/book/detail/14031713.html</w:t>
      </w:r>
    </w:p>
    <w:p>
      <w:r>
        <w:t>更多相关图书推荐：https://www.jiaokey.com</w:t>
      </w:r>
    </w:p>
    <w:p>
      <w:r>
        <w:t>蔡荣光总编辑 其他作品：https://www.jiaokey.com/tag/蔡荣光总编辑.html</w:t>
      </w:r>
    </w:p>
    <w:p>
      <w:r>
        <w:t>新竹县文化局 出版图书：https://www.jiaokey.com/tag/新竹县文化局.html</w:t>
      </w:r>
    </w:p>
    <w:p>
      <w:r>
        <w:t>关键词搜索：https://www.jiaokey.com/tag/89年新竹县艺术家薪传系列  4  许和义作品集.html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