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内敛与外放  杨奉琛作品集</w:t>
      </w:r>
    </w:p>
    <w:p>
      <w:r>
        <w:rPr>
          <w:rFonts w:ascii="宋体" w:hAnsi="宋体" w:eastAsia="宋体"/>
          <w:sz w:val="24"/>
        </w:rPr>
        <w:t>王维妮执行编辑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内敛与外放  杨奉琛作品集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王维妮执行编辑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首都艺术事业有限公司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本书出售、求购地址：https://www.jiaokey.com/book/detail/14031697.html</w:t>
      </w:r>
    </w:p>
    <w:p>
      <w:r>
        <w:t>更多相关图书推荐：https://www.jiaokey.com</w:t>
      </w:r>
    </w:p>
    <w:p>
      <w:r>
        <w:t>王维妮执行编辑 其他作品：https://www.jiaokey.com/tag/王维妮执行编辑.html</w:t>
      </w:r>
    </w:p>
    <w:p>
      <w:r>
        <w:t>首都艺术事业有限公司 出版图书：https://www.jiaokey.com/tag/首都艺术事业有限公司.html</w:t>
      </w:r>
    </w:p>
    <w:p>
      <w:r>
        <w:t>关键词搜索：https://www.jiaokey.com/tag/内敛与外放  杨奉琛作品集.html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