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民事诉讼文书样式  下</w:t>
      </w:r>
    </w:p>
    <w:p>
      <w:r>
        <w:rPr>
          <w:rFonts w:ascii="宋体" w:hAnsi="宋体" w:eastAsia="宋体"/>
          <w:sz w:val="24"/>
        </w:rPr>
        <w:t>沈德咏主编；最高人民法院修改后民事诉讼法贯彻实施工作领导小组编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民事诉讼文书样式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沈德咏主编；最高人民法院修改后民事诉讼法贯彻实施工作领导小组编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本书出售、求购地址：https://www.jiaokey.com/book/detail/14029472.html</w:t>
      </w:r>
    </w:p>
    <w:p>
      <w:r>
        <w:t>更多相关图书推荐：https://www.jiaokey.com</w:t>
      </w:r>
    </w:p>
    <w:p>
      <w:r>
        <w:t>沈德咏主编；最高人民法院修改后民事诉讼法贯彻实施工作领导小组编 其他作品：https://www.jiaokey.com/tag/沈德咏主编；最高人民法院修改后民事诉讼法贯彻实施工作领导小组编.html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关键词搜索：https://www.jiaokey.com/tag/民事诉讼文书样式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