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建筑结构按新规范设计资料  多层及高层框架稳定性计算实例  TJ-14</w:t>
      </w:r>
    </w:p>
    <w:p>
      <w:r>
        <w:rPr>
          <w:rFonts w:ascii="宋体" w:hAnsi="宋体" w:eastAsia="宋体"/>
          <w:sz w:val="24"/>
        </w:rPr>
        <w:t>中国力学学会衡阳分会编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建筑结构按新规范设计资料  多层及高层框架稳定性计算实例  TJ-14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中国力学学会衡阳分会编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本书出售、求购地址：https://www.jiaokey.com/book/detail/14028671.html</w:t>
      </w:r>
    </w:p>
    <w:p>
      <w:r>
        <w:t>更多相关图书推荐：https://www.jiaokey.com</w:t>
      </w:r>
    </w:p>
    <w:p>
      <w:r>
        <w:t>中国力学学会衡阳分会编 其他作品：https://www.jiaokey.com/tag/中国力学学会衡阳分会编.html</w:t>
      </w:r>
    </w:p>
    <w:p>
      <w:r>
        <w:t>关键词搜索：https://www.jiaokey.com/tag/建筑结构按新规范设计资料  多层及高层框架稳定性计算实例  TJ-14.html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