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最新设备保养制度</w:t>
      </w:r>
    </w:p>
    <w:p>
      <w:r>
        <w:rPr>
          <w:rFonts w:ascii="宋体" w:hAnsi="宋体" w:eastAsia="宋体"/>
          <w:sz w:val="24"/>
        </w:rPr>
        <w:t>宗孝原著；叶锦堂译；苏村田校订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最新设备保养制度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宗孝原著；叶锦堂译；苏村田校订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台华工商图书出版公司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本书出售、求购地址：https://www.jiaokey.com/book/detail/14026743.html</w:t>
      </w:r>
    </w:p>
    <w:p>
      <w:r>
        <w:t>更多相关图书推荐：https://www.jiaokey.com</w:t>
      </w:r>
    </w:p>
    <w:p>
      <w:r>
        <w:t>宗孝原著；叶锦堂译；苏村田校订 其他作品：https://www.jiaokey.com/tag/宗孝原著；叶锦堂译；苏村田校订.html</w:t>
      </w:r>
    </w:p>
    <w:p>
      <w:r>
        <w:t>台华工商图书出版公司 出版图书：https://www.jiaokey.com/tag/台华工商图书出版公司.html</w:t>
      </w:r>
    </w:p>
    <w:p>
      <w:r>
        <w:t>关键词搜索：https://www.jiaokey.com/tag/最新设备保养制度.html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