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林般耸  台湾设计的发光体</w:t>
      </w:r>
    </w:p>
    <w:p>
      <w:r>
        <w:rPr>
          <w:rFonts w:ascii="宋体" w:hAnsi="宋体" w:eastAsia="宋体"/>
          <w:sz w:val="24"/>
        </w:rPr>
        <w:t>杜紫君出版者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林般耸  台湾设计的发光体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杜紫君出版者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经济部商业司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本书出售、求购地址：https://www.jiaokey.com/book/detail/14025922.html</w:t>
      </w:r>
    </w:p>
    <w:p>
      <w:r>
        <w:t>更多相关图书推荐：https://www.jiaokey.com</w:t>
      </w:r>
    </w:p>
    <w:p>
      <w:r>
        <w:t>杜紫君出版者 其他作品：https://www.jiaokey.com/tag/杜紫君出版者.html</w:t>
      </w:r>
    </w:p>
    <w:p>
      <w:r>
        <w:t>经济部商业司 出版图书：https://www.jiaokey.com/tag/经济部商业司.html</w:t>
      </w:r>
    </w:p>
    <w:p>
      <w:r>
        <w:t>关键词搜索：https://www.jiaokey.com/tag/林般耸  台湾设计的发光体.html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