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商品流通企业会计</w:t>
      </w:r>
    </w:p>
    <w:p>
      <w:r>
        <w:rPr>
          <w:rFonts w:ascii="宋体" w:hAnsi="宋体" w:eastAsia="宋体"/>
          <w:sz w:val="24"/>
        </w:rPr>
        <w:t>倪明辉，赵丽莉主编；刘红娟，邢大为副主编；高尚，刘超，李小雨，付静，张晗，陈维参编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倪明辉，赵丽莉主编；刘红娟，邢大为副主编；高尚，刘超，李小雨，付静，张晗，陈维参编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本书出售、求购地址：https://www.jiaokey.com/book/detail/14021270.html</w:t>
      </w:r>
    </w:p>
    <w:p>
      <w:r>
        <w:t>更多相关图书推荐：https://www.jiaokey.com</w:t>
      </w:r>
    </w:p>
    <w:p>
      <w:r>
        <w:t>倪明辉，赵丽莉主编；刘红娟，邢大为副主编；高尚，刘超，李小雨，付静，张晗，陈维参编 其他作品：https://www.jiaokey.com/tag/倪明辉，赵丽莉主编；刘红娟，邢大为副主编；高尚，刘超，李小雨，付静，张晗，陈维参编.html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关键词搜索：https://www.jiaokey.com/tag/普通高等教育规划教材  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