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电气运行</w:t>
      </w:r>
    </w:p>
    <w:p>
      <w:r>
        <w:rPr>
          <w:rFonts w:ascii="宋体" w:hAnsi="宋体" w:eastAsia="宋体"/>
          <w:sz w:val="24"/>
        </w:rPr>
        <w:t>王卫卫，杨军，戴海荣主编；李家坤，夏勇，余海明副主编；汪锋，张争，程天龙，刘娇娇参编；李可主审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王卫卫，杨军，戴海荣主编；李家坤，夏勇，余海明副主编；汪锋，张争，程天龙，刘娇娇参编；李可主审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本书出售、求购地址：https://www.jiaokey.com/book/detail/14021232.html</w:t>
      </w:r>
    </w:p>
    <w:p>
      <w:r>
        <w:t>更多相关图书推荐：https://www.jiaokey.com</w:t>
      </w:r>
    </w:p>
    <w:p>
      <w:r>
        <w:t>王卫卫，杨军，戴海荣主编；李家坤，夏勇，余海明副主编；汪锋，张争，程天龙，刘娇娇参编；李可主审 其他作品：https://www.jiaokey.com/tag/王卫卫，杨军，戴海荣主编；李家坤，夏勇，余海明副主编；汪锋，张争，程天龙，刘娇娇参编；李可主审.html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