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半号角</w:t>
      </w:r>
    </w:p>
    <w:p>
      <w:r>
        <w:rPr>
          <w:rFonts w:ascii="宋体" w:hAnsi="宋体" w:eastAsia="宋体"/>
          <w:sz w:val="24"/>
        </w:rPr>
        <w:t>（伊朗）赛义德·阿里·索贾伊文；（伊朗）阿里雷扎·古德里安图；拨拨鼠绘本馆译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（伊朗）赛义德·阿里·索贾伊文；（伊朗）阿里雷扎·古德里安图；拨拨鼠绘本馆译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本书出售、求购地址：https://www.jiaokey.com/book/detail/14020824.html</w:t>
      </w:r>
    </w:p>
    <w:p>
      <w:r>
        <w:t>更多相关图书推荐：https://www.jiaokey.com</w:t>
      </w:r>
    </w:p>
    <w:p>
      <w:r>
        <w:t>（伊朗）赛义德·阿里·索贾伊文；（伊朗）阿里雷扎·古德里安图；拨拨鼠绘本馆译 其他作品：https://www.jiaokey.com/tag/（伊朗）赛义德·阿里·索贾伊文；（伊朗）阿里雷扎·古德里安图；拨拨鼠绘本馆译.html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关键词搜索：https://www.jiaokey.com/tag/半号角.html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