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领域驱动设计  软件核心复杂性应对之道</w:t>
      </w:r>
    </w:p>
    <w:p>
      <w:r>
        <w:rPr>
          <w:rFonts w:ascii="宋体" w:hAnsi="宋体" w:eastAsia="宋体"/>
          <w:sz w:val="24"/>
        </w:rPr>
        <w:t>（美）EricEvans著；赵俐，盛海艳，刘霞等译；任发科审校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领域驱动设计  软件核心复杂性应对之道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（美）EricEvans著；赵俐，盛海艳，刘霞等译；任发科审校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本书出售、求购地址：https://www.jiaokey.com/book/detail/14020408.html</w:t>
      </w:r>
    </w:p>
    <w:p>
      <w:r>
        <w:t>更多相关图书推荐：https://www.jiaokey.com</w:t>
      </w:r>
    </w:p>
    <w:p>
      <w:r>
        <w:t>（美）EricEvans著；赵俐，盛海艳，刘霞等译；任发科审校 其他作品：https://www.jiaokey.com/tag/（美）EricEvans著；赵俐，盛海艳，刘霞等译；任发科审校.html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关键词搜索：https://www.jiaokey.com/tag/领域驱动设计  软件核心复杂性应对之道.html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