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山东省“乡村记忆”工程政策法规选编</w:t>
      </w:r>
    </w:p>
    <w:p>
      <w:r>
        <w:rPr>
          <w:rFonts w:ascii="宋体" w:hAnsi="宋体" w:eastAsia="宋体"/>
          <w:sz w:val="24"/>
        </w:rPr>
        <w:t>由少平本书主编；倪国圣，兰玉富，高宜生，张成利，马运凤本书副主编；谢治秀本书总主编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山东省“乡村记忆”工程政策法规选编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由少平本书主编；倪国圣，兰玉富，高宜生，张成利，马运凤本书副主编；谢治秀本书总主编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本书出售、求购地址：https://www.jiaokey.com/book/detail/14018180.html</w:t>
      </w:r>
    </w:p>
    <w:p>
      <w:r>
        <w:t>更多相关图书推荐：https://www.jiaokey.com</w:t>
      </w:r>
    </w:p>
    <w:p>
      <w:r>
        <w:t>由少平本书主编；倪国圣，兰玉富，高宜生，张成利，马运凤本书副主编；谢治秀本书总主编 其他作品：https://www.jiaokey.com/tag/由少平本书主编；倪国圣，兰玉富，高宜生，张成利，马运凤本书副主编；谢治秀本书总主编.html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关键词搜索：https://www.jiaokey.com/tag/山东省“乡村记忆”工程政策法规选编.html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