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财富的逻辑  1  为什么中国人勤劳而富有</w:t>
      </w:r>
    </w:p>
    <w:p>
      <w:r>
        <w:rPr>
          <w:rFonts w:ascii="宋体" w:hAnsi="宋体" w:eastAsia="宋体"/>
          <w:sz w:val="24"/>
        </w:rPr>
        <w:t>陈志武著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财富的逻辑  1  为什么中国人勤劳而富有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本书出售、求购地址：https://www.jiaokey.com/book/detail/14014141.html</w:t>
      </w:r>
    </w:p>
    <w:p>
      <w:r>
        <w:t>更多相关图书推荐：https://www.jiaokey.com</w:t>
      </w:r>
    </w:p>
    <w:p>
      <w:r>
        <w:t>陈志武著 其他作品：https://www.jiaokey.com/tag/陈志武著.html</w:t>
      </w:r>
    </w:p>
    <w:p>
      <w:r>
        <w:t>关键词搜索：https://www.jiaokey.com/tag/财富的逻辑  1  为什么中国人勤劳而富有.html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