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  三菱  任务驱动模式</w:t>
      </w:r>
    </w:p>
    <w:p>
      <w:r>
        <w:rPr>
          <w:rFonts w:ascii="宋体" w:hAnsi="宋体" w:eastAsia="宋体"/>
          <w:sz w:val="24"/>
        </w:rPr>
        <w:t>杨杰忠主编；郭能强，李仁芝，张焕英副主编；李亚明，郑欣，诸葛英，潘协龙等参编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  三菱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杨杰忠主编；郭能强，李仁芝，张焕英副主编；李亚明，郑欣，诸葛英，潘协龙等参编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本书出售、求购地址：https://www.jiaokey.com/book/detail/14013940.html</w:t>
      </w:r>
    </w:p>
    <w:p>
      <w:r>
        <w:t>更多相关图书推荐：https://www.jiaokey.com</w:t>
      </w:r>
    </w:p>
    <w:p>
      <w:r>
        <w:t>杨杰忠主编；郭能强，李仁芝，张焕英副主编；李亚明，郑欣，诸葛英，潘协龙等参编 其他作品：https://www.jiaokey.com/tag/杨杰忠主编；郭能强，李仁芝，张焕英副主编；李亚明，郑欣，诸葛英，潘协龙等参编.html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关键词搜索：https://www.jiaokey.com/tag/PLC应用技术  三菱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