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惩治与保障  食品药品犯罪案件规范研究</w:t>
      </w:r>
    </w:p>
    <w:p>
      <w:r>
        <w:rPr>
          <w:rFonts w:ascii="宋体" w:hAnsi="宋体" w:eastAsia="宋体"/>
          <w:sz w:val="24"/>
        </w:rPr>
        <w:t>李春雷，许成磊主编；刘天明，商凤廷，尹孟良副主编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惩治与保障  食品药品犯罪案件规范研究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李春雷，许成磊主编；刘天明，商凤廷，尹孟良副主编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本书出售、求购地址：https://www.jiaokey.com/book/detail/14010106.html</w:t>
      </w:r>
    </w:p>
    <w:p>
      <w:r>
        <w:t>更多相关图书推荐：https://www.jiaokey.com</w:t>
      </w:r>
    </w:p>
    <w:p>
      <w:r>
        <w:t>李春雷，许成磊主编；刘天明，商凤廷，尹孟良副主编 其他作品：https://www.jiaokey.com/tag/李春雷，许成磊主编；刘天明，商凤廷，尹孟良副主编.html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关键词搜索：https://www.jiaokey.com/tag/惩治与保障  食品药品犯罪案件规范研究.html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